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13261" w14:textId="77777777" w:rsidR="005F4620" w:rsidRDefault="005F4620"/>
    <w:p w14:paraId="16821989" w14:textId="77777777" w:rsidR="00D53FED" w:rsidRDefault="00D53FED"/>
    <w:p w14:paraId="4ABD2A8D" w14:textId="766EDF86" w:rsidR="005F4620" w:rsidRDefault="00D56A24">
      <w:r>
        <w:t xml:space="preserve">Bonn, </w:t>
      </w:r>
      <w:r w:rsidR="005F4620">
        <w:t>Ludwigsburg</w:t>
      </w:r>
      <w:r>
        <w:tab/>
      </w:r>
      <w:r w:rsidR="0065550D">
        <w:t xml:space="preserve">   </w:t>
      </w:r>
      <w:r w:rsidR="005F4620">
        <w:t xml:space="preserve"> </w:t>
      </w:r>
      <w:r w:rsidR="0065550D">
        <w:t xml:space="preserve">  </w:t>
      </w:r>
      <w:r w:rsidR="005F4620">
        <w:tab/>
      </w:r>
      <w:r w:rsidR="005F4620">
        <w:tab/>
      </w:r>
      <w:r w:rsidR="005F4620">
        <w:tab/>
      </w:r>
      <w:r w:rsidR="005F4620">
        <w:tab/>
      </w:r>
      <w:r w:rsidR="005F4620">
        <w:tab/>
      </w:r>
      <w:r w:rsidR="005F4620">
        <w:tab/>
      </w:r>
      <w:r w:rsidR="005F4620">
        <w:tab/>
      </w:r>
      <w:r w:rsidR="006F542D">
        <w:t xml:space="preserve">      </w:t>
      </w:r>
      <w:r>
        <w:t>6</w:t>
      </w:r>
      <w:r w:rsidR="005F4620">
        <w:t xml:space="preserve">. </w:t>
      </w:r>
      <w:r>
        <w:t>November</w:t>
      </w:r>
      <w:r w:rsidR="006F542D">
        <w:t xml:space="preserve"> 202</w:t>
      </w:r>
      <w:r w:rsidR="00742F3A">
        <w:t>4</w:t>
      </w:r>
    </w:p>
    <w:p w14:paraId="63EF4F1A" w14:textId="72CF955E" w:rsidR="007001C3" w:rsidRPr="00F85E03" w:rsidRDefault="005F4620">
      <w:r w:rsidRPr="00F85E03">
        <w:t>Gemeinsame Pressemitteilung der Organisationen</w:t>
      </w:r>
      <w:r w:rsidR="00D56A24">
        <w:t xml:space="preserve"> BTGA – Bundesindustrieverband Technische Gebäudeausrüstung e.V.</w:t>
      </w:r>
      <w:r w:rsidRPr="00F85E03">
        <w:t xml:space="preserve">, </w:t>
      </w:r>
      <w:r w:rsidR="0065550D" w:rsidRPr="00F85E03">
        <w:t>FGK – Fachverband Gebäude-Klima e.V., VDKF – Verband Deutscher Kälte-Klima-Fachbetriebe e.V.</w:t>
      </w:r>
    </w:p>
    <w:p w14:paraId="434920C9" w14:textId="77777777" w:rsidR="00D53FED" w:rsidRDefault="00D53FED" w:rsidP="007001C3">
      <w:pPr>
        <w:rPr>
          <w:b/>
          <w:bCs/>
          <w:sz w:val="32"/>
          <w:szCs w:val="32"/>
        </w:rPr>
      </w:pPr>
    </w:p>
    <w:p w14:paraId="05514312" w14:textId="6E6F0992" w:rsidR="007001C3" w:rsidRPr="00D53FED" w:rsidRDefault="00D53FED" w:rsidP="007001C3">
      <w:pPr>
        <w:rPr>
          <w:b/>
          <w:bCs/>
          <w:sz w:val="28"/>
          <w:szCs w:val="28"/>
        </w:rPr>
      </w:pPr>
      <w:r w:rsidRPr="00D53FED">
        <w:rPr>
          <w:b/>
          <w:bCs/>
          <w:sz w:val="28"/>
          <w:szCs w:val="28"/>
        </w:rPr>
        <w:t>TGA-Verbände kritisieren geplantes Verbot von Multisplit-</w:t>
      </w:r>
      <w:r w:rsidR="00BC1E36">
        <w:rPr>
          <w:b/>
          <w:bCs/>
          <w:sz w:val="28"/>
          <w:szCs w:val="28"/>
        </w:rPr>
        <w:t>/VRF-</w:t>
      </w:r>
      <w:r w:rsidRPr="00D53FED">
        <w:rPr>
          <w:b/>
          <w:bCs/>
          <w:sz w:val="28"/>
          <w:szCs w:val="28"/>
        </w:rPr>
        <w:t>Klimaanlagen</w:t>
      </w:r>
    </w:p>
    <w:p w14:paraId="2723D2A9" w14:textId="62635195" w:rsidR="005E4C71" w:rsidRPr="005E4C71" w:rsidRDefault="00C964DC" w:rsidP="005E4C71">
      <w:pPr>
        <w:rPr>
          <w:rFonts w:cstheme="minorHAnsi"/>
          <w:shd w:val="clear" w:color="auto" w:fill="FFFFFF"/>
        </w:rPr>
      </w:pPr>
      <w:r w:rsidRPr="00C964DC">
        <w:t xml:space="preserve">Die </w:t>
      </w:r>
      <w:r>
        <w:t>TGA-Verbände BTGA, FGK und VDKF haben sich in einer gemeinsamen Stellungnahme gegen ein geplantes Verbot von Multisplit-</w:t>
      </w:r>
      <w:r w:rsidR="00BC1E36">
        <w:t>/VRF-</w:t>
      </w:r>
      <w:r>
        <w:t xml:space="preserve">Klimaanlagen bei </w:t>
      </w:r>
      <w:r>
        <w:rPr>
          <w:rFonts w:cstheme="minorHAnsi"/>
          <w:shd w:val="clear" w:color="auto" w:fill="FFFFFF"/>
        </w:rPr>
        <w:t>ö</w:t>
      </w:r>
      <w:r w:rsidRPr="00EC043F">
        <w:rPr>
          <w:rFonts w:cstheme="minorHAnsi"/>
          <w:shd w:val="clear" w:color="auto" w:fill="FFFFFF"/>
        </w:rPr>
        <w:t>ffentliche</w:t>
      </w:r>
      <w:r>
        <w:rPr>
          <w:rFonts w:cstheme="minorHAnsi"/>
          <w:shd w:val="clear" w:color="auto" w:fill="FFFFFF"/>
        </w:rPr>
        <w:t xml:space="preserve">n </w:t>
      </w:r>
      <w:r w:rsidRPr="00EC043F">
        <w:rPr>
          <w:rFonts w:cstheme="minorHAnsi"/>
          <w:shd w:val="clear" w:color="auto" w:fill="FFFFFF"/>
        </w:rPr>
        <w:t>Vergabeverfahren</w:t>
      </w:r>
      <w:r>
        <w:rPr>
          <w:rFonts w:cstheme="minorHAnsi"/>
          <w:shd w:val="clear" w:color="auto" w:fill="FFFFFF"/>
        </w:rPr>
        <w:t xml:space="preserve"> ausgesprochen. </w:t>
      </w:r>
      <w:r w:rsidR="005E4C71">
        <w:rPr>
          <w:rFonts w:cstheme="minorHAnsi"/>
          <w:shd w:val="clear" w:color="auto" w:fill="FFFFFF"/>
        </w:rPr>
        <w:t xml:space="preserve">Die Verbände kritisieren einige Inhalte der vom </w:t>
      </w:r>
      <w:r w:rsidR="005E4C71" w:rsidRPr="005E4C71">
        <w:rPr>
          <w:rFonts w:cstheme="minorHAnsi"/>
          <w:shd w:val="clear" w:color="auto" w:fill="FFFFFF"/>
        </w:rPr>
        <w:t xml:space="preserve">Bundesministerium für Wirtschaft und Klimaschutz </w:t>
      </w:r>
      <w:r w:rsidR="005E4C71">
        <w:rPr>
          <w:rFonts w:cstheme="minorHAnsi"/>
          <w:shd w:val="clear" w:color="auto" w:fill="FFFFFF"/>
        </w:rPr>
        <w:t xml:space="preserve">(BMWK) </w:t>
      </w:r>
      <w:r w:rsidR="00B32AAC">
        <w:rPr>
          <w:rFonts w:cstheme="minorHAnsi"/>
          <w:shd w:val="clear" w:color="auto" w:fill="FFFFFF"/>
        </w:rPr>
        <w:t xml:space="preserve">im Referentenentwurf </w:t>
      </w:r>
      <w:r w:rsidR="005E4C71">
        <w:rPr>
          <w:rFonts w:cstheme="minorHAnsi"/>
          <w:shd w:val="clear" w:color="auto" w:fill="FFFFFF"/>
        </w:rPr>
        <w:t>vorgestellten neuen Verwaltungsvorschrift „</w:t>
      </w:r>
      <w:r w:rsidR="005E4C71" w:rsidRPr="006F4E39">
        <w:rPr>
          <w:rFonts w:cstheme="minorHAnsi"/>
          <w:shd w:val="clear" w:color="auto" w:fill="FFFFFF"/>
        </w:rPr>
        <w:t>AVV Sozial und umweltbezogen nachhaltige Beschaffung</w:t>
      </w:r>
      <w:r w:rsidR="005E4C71">
        <w:rPr>
          <w:rFonts w:cstheme="minorHAnsi"/>
          <w:shd w:val="clear" w:color="auto" w:fill="FFFFFF"/>
        </w:rPr>
        <w:t xml:space="preserve">“. </w:t>
      </w:r>
      <w:r w:rsidR="00BC1E36">
        <w:rPr>
          <w:rFonts w:cstheme="minorHAnsi"/>
          <w:shd w:val="clear" w:color="auto" w:fill="FFFFFF"/>
        </w:rPr>
        <w:t xml:space="preserve">Die </w:t>
      </w:r>
      <w:r w:rsidR="005E4C71" w:rsidRPr="005E4C71">
        <w:rPr>
          <w:rFonts w:cstheme="minorHAnsi"/>
          <w:shd w:val="clear" w:color="auto" w:fill="FFFFFF"/>
        </w:rPr>
        <w:t xml:space="preserve">AVV </w:t>
      </w:r>
      <w:r w:rsidR="00BC1E36">
        <w:rPr>
          <w:rFonts w:cstheme="minorHAnsi"/>
          <w:shd w:val="clear" w:color="auto" w:fill="FFFFFF"/>
        </w:rPr>
        <w:t xml:space="preserve">enthält </w:t>
      </w:r>
      <w:r w:rsidR="005E4C71" w:rsidRPr="005E4C71">
        <w:rPr>
          <w:rFonts w:cstheme="minorHAnsi"/>
          <w:shd w:val="clear" w:color="auto" w:fill="FFFFFF"/>
        </w:rPr>
        <w:t>Vorgaben für öffentliche Vergabeverfahren und eine Negativliste mit Produkten, die aus Umweltschutzgründen nicht beschafft werden dürfen. Dazu zählen</w:t>
      </w:r>
      <w:r w:rsidR="005E4C71">
        <w:rPr>
          <w:rFonts w:cstheme="minorHAnsi"/>
          <w:shd w:val="clear" w:color="auto" w:fill="FFFFFF"/>
        </w:rPr>
        <w:t xml:space="preserve"> u.a.</w:t>
      </w:r>
      <w:r w:rsidR="005E4C71" w:rsidRPr="005E4C71">
        <w:rPr>
          <w:rFonts w:cstheme="minorHAnsi"/>
          <w:shd w:val="clear" w:color="auto" w:fill="FFFFFF"/>
        </w:rPr>
        <w:t xml:space="preserve">: </w:t>
      </w:r>
    </w:p>
    <w:p w14:paraId="6FB2D5CB" w14:textId="6DEC7748" w:rsidR="005E4C71" w:rsidRPr="005E4C71" w:rsidRDefault="005E4C71" w:rsidP="005E4C71">
      <w:pPr>
        <w:pStyle w:val="Listenabsatz"/>
        <w:numPr>
          <w:ilvl w:val="0"/>
          <w:numId w:val="4"/>
        </w:numPr>
      </w:pPr>
      <w:r w:rsidRPr="005E4C71">
        <w:rPr>
          <w:rFonts w:cstheme="minorHAnsi"/>
          <w:shd w:val="clear" w:color="auto" w:fill="FFFFFF"/>
        </w:rPr>
        <w:t>Multisplit</w:t>
      </w:r>
      <w:r w:rsidR="00BC1E36">
        <w:rPr>
          <w:rFonts w:cstheme="minorHAnsi"/>
          <w:shd w:val="clear" w:color="auto" w:fill="FFFFFF"/>
        </w:rPr>
        <w:t>-</w:t>
      </w:r>
      <w:r w:rsidRPr="005E4C71">
        <w:rPr>
          <w:rFonts w:cstheme="minorHAnsi"/>
          <w:shd w:val="clear" w:color="auto" w:fill="FFFFFF"/>
        </w:rPr>
        <w:t>/VRF-Klimageräte mit mehr als 10 kW Nennkälteleistung</w:t>
      </w:r>
      <w:r w:rsidR="00796488">
        <w:rPr>
          <w:rFonts w:cstheme="minorHAnsi"/>
          <w:shd w:val="clear" w:color="auto" w:fill="FFFFFF"/>
        </w:rPr>
        <w:t>,</w:t>
      </w:r>
    </w:p>
    <w:p w14:paraId="55C4EACF" w14:textId="0CEFE69E" w:rsidR="005E4C71" w:rsidRPr="005E4C71" w:rsidRDefault="005E4C71" w:rsidP="005E4C71">
      <w:pPr>
        <w:pStyle w:val="Listenabsatz"/>
        <w:numPr>
          <w:ilvl w:val="0"/>
          <w:numId w:val="4"/>
        </w:numPr>
      </w:pPr>
      <w:r w:rsidRPr="005E4C71">
        <w:rPr>
          <w:rFonts w:cstheme="minorHAnsi"/>
          <w:shd w:val="clear" w:color="auto" w:fill="FFFFFF"/>
        </w:rPr>
        <w:t>Flüssigkeitskühler mit mehr als 10 kW Nennkälteleistung mit Kältemittel GWP</w:t>
      </w:r>
      <w:r w:rsidR="00796488">
        <w:rPr>
          <w:rFonts w:cstheme="minorHAnsi"/>
          <w:shd w:val="clear" w:color="auto" w:fill="FFFFFF"/>
        </w:rPr>
        <w:t xml:space="preserve"> </w:t>
      </w:r>
      <w:r w:rsidRPr="005E4C71">
        <w:rPr>
          <w:rFonts w:cstheme="minorHAnsi"/>
          <w:shd w:val="clear" w:color="auto" w:fill="FFFFFF"/>
        </w:rPr>
        <w:t>≥</w:t>
      </w:r>
      <w:r w:rsidR="00796488">
        <w:rPr>
          <w:rFonts w:cstheme="minorHAnsi"/>
          <w:shd w:val="clear" w:color="auto" w:fill="FFFFFF"/>
        </w:rPr>
        <w:t xml:space="preserve"> </w:t>
      </w:r>
      <w:r w:rsidRPr="005E4C71">
        <w:rPr>
          <w:rFonts w:cstheme="minorHAnsi"/>
          <w:shd w:val="clear" w:color="auto" w:fill="FFFFFF"/>
        </w:rPr>
        <w:t>150</w:t>
      </w:r>
      <w:r w:rsidR="00796488">
        <w:rPr>
          <w:rFonts w:cstheme="minorHAnsi"/>
          <w:shd w:val="clear" w:color="auto" w:fill="FFFFFF"/>
        </w:rPr>
        <w:t>,</w:t>
      </w:r>
    </w:p>
    <w:p w14:paraId="42D4C120" w14:textId="173DA16A" w:rsidR="00796488" w:rsidRPr="00796488" w:rsidRDefault="005E4C71" w:rsidP="00796488">
      <w:pPr>
        <w:pStyle w:val="Listenabsatz"/>
        <w:numPr>
          <w:ilvl w:val="0"/>
          <w:numId w:val="4"/>
        </w:numPr>
      </w:pPr>
      <w:r w:rsidRPr="005E4C71">
        <w:rPr>
          <w:rFonts w:cstheme="minorHAnsi"/>
          <w:shd w:val="clear" w:color="auto" w:fill="FFFFFF"/>
        </w:rPr>
        <w:t xml:space="preserve">Kühl- und Gefriergeräte </w:t>
      </w:r>
      <w:r w:rsidR="00BC1E36">
        <w:rPr>
          <w:rFonts w:cstheme="minorHAnsi"/>
          <w:shd w:val="clear" w:color="auto" w:fill="FFFFFF"/>
        </w:rPr>
        <w:t>sowie</w:t>
      </w:r>
      <w:r w:rsidR="00BC1E36" w:rsidRPr="005E4C71">
        <w:rPr>
          <w:rFonts w:cstheme="minorHAnsi"/>
          <w:shd w:val="clear" w:color="auto" w:fill="FFFFFF"/>
        </w:rPr>
        <w:t xml:space="preserve"> </w:t>
      </w:r>
      <w:r w:rsidRPr="005E4C71">
        <w:rPr>
          <w:rFonts w:cstheme="minorHAnsi"/>
          <w:shd w:val="clear" w:color="auto" w:fill="FFFFFF"/>
        </w:rPr>
        <w:t>sonstige stationäre und mobile Kälte- und Klimaanlagen mit halogenierten Kältemitteln</w:t>
      </w:r>
      <w:r w:rsidR="00796488">
        <w:rPr>
          <w:rFonts w:cstheme="minorHAnsi"/>
          <w:shd w:val="clear" w:color="auto" w:fill="FFFFFF"/>
        </w:rPr>
        <w:t>.</w:t>
      </w:r>
    </w:p>
    <w:p w14:paraId="12645395" w14:textId="73D1D7D1" w:rsidR="00796488" w:rsidRDefault="005E4C71" w:rsidP="00B81248">
      <w:r w:rsidRPr="005E4C71">
        <w:t xml:space="preserve">In </w:t>
      </w:r>
      <w:r>
        <w:t>ihrer</w:t>
      </w:r>
      <w:r w:rsidRPr="005E4C71">
        <w:t xml:space="preserve"> Stellungnahme weisen </w:t>
      </w:r>
      <w:r>
        <w:t>die Verbände</w:t>
      </w:r>
      <w:r w:rsidRPr="005E4C71">
        <w:t xml:space="preserve"> darauf hin, dass ein Verbot der Beschaffung von Multisplit-/VRF-Systemen der hohen Energieeffizienz der Systeme nicht gerecht </w:t>
      </w:r>
      <w:r>
        <w:t>w</w:t>
      </w:r>
      <w:r w:rsidR="00A204F9">
        <w:t>i</w:t>
      </w:r>
      <w:r>
        <w:t>rd</w:t>
      </w:r>
      <w:r w:rsidRPr="005E4C71">
        <w:t>. Die AVV-Negativliste widerspr</w:t>
      </w:r>
      <w:r w:rsidR="00A204F9">
        <w:t>icht</w:t>
      </w:r>
      <w:r w:rsidRPr="005E4C71">
        <w:t xml:space="preserve"> </w:t>
      </w:r>
      <w:r w:rsidR="00796488">
        <w:t xml:space="preserve">den </w:t>
      </w:r>
      <w:r w:rsidRPr="005E4C71">
        <w:t xml:space="preserve">übergreifenden politischen Zielen </w:t>
      </w:r>
      <w:r w:rsidR="00796488">
        <w:t>„</w:t>
      </w:r>
      <w:r w:rsidRPr="005E4C71">
        <w:t>Energieeffizienz</w:t>
      </w:r>
      <w:r w:rsidR="00796488">
        <w:t>“</w:t>
      </w:r>
      <w:r w:rsidRPr="005E4C71">
        <w:t xml:space="preserve"> und </w:t>
      </w:r>
      <w:r w:rsidR="00796488">
        <w:t>„</w:t>
      </w:r>
      <w:r w:rsidRPr="005E4C71">
        <w:t>Nachhaltigkeit</w:t>
      </w:r>
      <w:r w:rsidR="00796488">
        <w:t>“</w:t>
      </w:r>
      <w:r w:rsidRPr="005E4C71">
        <w:t>.</w:t>
      </w:r>
      <w:r w:rsidR="00B32AAC" w:rsidRPr="00B32AAC">
        <w:t xml:space="preserve"> </w:t>
      </w:r>
      <w:r w:rsidR="00B32AAC">
        <w:t xml:space="preserve">Tatsächlich </w:t>
      </w:r>
      <w:r w:rsidR="00A204F9">
        <w:t>wird</w:t>
      </w:r>
      <w:r w:rsidR="00B32AAC">
        <w:t xml:space="preserve"> das in der AVV formulierte Ziel – die Treibhausgasemissionen zu reduzieren – durch das Verbot von Multisplit-/VRF-Geräten nicht unterstützt, sondern eher behindert, weil</w:t>
      </w:r>
      <w:r w:rsidR="00BC1E36">
        <w:t xml:space="preserve"> </w:t>
      </w:r>
      <w:r w:rsidR="00796488">
        <w:t>gegebenenfalls</w:t>
      </w:r>
      <w:r w:rsidR="00B32AAC">
        <w:t xml:space="preserve"> Produkte mit geringerer Energieeffizienz beschafft werden müssen. </w:t>
      </w:r>
      <w:r w:rsidR="007A3F1B">
        <w:t xml:space="preserve">Zudem erfüllen </w:t>
      </w:r>
      <w:r w:rsidR="007A7FCE">
        <w:t>Multisplit</w:t>
      </w:r>
      <w:r w:rsidR="00A204F9">
        <w:t>-</w:t>
      </w:r>
      <w:r w:rsidR="007A7FCE">
        <w:t>/VRF-Klimaanlagen heute nicht nur Kühlaufgaben</w:t>
      </w:r>
      <w:r w:rsidR="00BC1E36">
        <w:t xml:space="preserve">. Sie </w:t>
      </w:r>
      <w:r w:rsidR="007A7FCE">
        <w:t>sind auch effiziente und kostengünstige Wärmepumpen und damit ein wesentliche</w:t>
      </w:r>
      <w:r w:rsidR="00BC1E36">
        <w:t>s Element für das Erreichen</w:t>
      </w:r>
      <w:r w:rsidR="007A7FCE">
        <w:t xml:space="preserve"> der Klimaschutzziele im Gebäudesektor. Eine alleinige Fokussierung auf den Kühlbetrieb greift viel zu kurz. An diese Anlagen werden höchste Effizienzanforderungen </w:t>
      </w:r>
      <w:r w:rsidR="00796488">
        <w:t xml:space="preserve">der </w:t>
      </w:r>
      <w:r w:rsidR="007A7FCE">
        <w:t>Ökodesign</w:t>
      </w:r>
      <w:r w:rsidR="00796488">
        <w:t>-Richtlinie</w:t>
      </w:r>
      <w:r w:rsidR="007A7FCE">
        <w:t xml:space="preserve"> gestellt, weshalb sie im Heiz- und Kühlbetrieb hervorragende Effizienzen aufweisen</w:t>
      </w:r>
      <w:r w:rsidR="00796488">
        <w:t>.</w:t>
      </w:r>
      <w:r w:rsidR="007A7FCE">
        <w:t xml:space="preserve"> </w:t>
      </w:r>
      <w:r w:rsidR="00796488">
        <w:t>D</w:t>
      </w:r>
      <w:r w:rsidR="007A7FCE">
        <w:t>ie</w:t>
      </w:r>
      <w:r w:rsidR="00796488">
        <w:t>se können</w:t>
      </w:r>
      <w:r w:rsidR="007A7FCE">
        <w:t xml:space="preserve"> auf Systemebene von wassergeführten Anlagen gleicher Größe kaum erreicht werden. Um- und Nachrüstungen im Leistungsbereich dieser Produkte auf wassergeführte Systeme sind unter wirtschaftlichen Aspekten kaum darstellbar und widersprechen den Zielen der Nachhaltigkeit.</w:t>
      </w:r>
    </w:p>
    <w:p w14:paraId="57C8E0D3" w14:textId="54516675" w:rsidR="00A204F9" w:rsidRDefault="007A3F1B" w:rsidP="00796488">
      <w:r>
        <w:t xml:space="preserve">Die TGA-Verbände haben daher das BMWK gebeten, die Negativliste entsprechend anzupassen und die Passage zu streichen. </w:t>
      </w:r>
    </w:p>
    <w:p w14:paraId="6E37CB0E" w14:textId="77777777" w:rsidR="00A204F9" w:rsidRDefault="00A204F9" w:rsidP="00B81248"/>
    <w:p w14:paraId="6FF0681C" w14:textId="77777777" w:rsidR="00D53FED" w:rsidRDefault="00D53FED" w:rsidP="00B81248">
      <w:pPr>
        <w:rPr>
          <w:b/>
          <w:bCs/>
        </w:rPr>
      </w:pPr>
    </w:p>
    <w:p w14:paraId="36A0B405" w14:textId="77777777" w:rsidR="003D741A" w:rsidRDefault="003D741A" w:rsidP="00B81248">
      <w:pPr>
        <w:rPr>
          <w:b/>
          <w:bCs/>
        </w:rPr>
      </w:pPr>
    </w:p>
    <w:p w14:paraId="461507C7" w14:textId="77777777" w:rsidR="003D741A" w:rsidRDefault="003D741A" w:rsidP="00B81248">
      <w:pPr>
        <w:rPr>
          <w:b/>
          <w:bCs/>
        </w:rPr>
      </w:pPr>
    </w:p>
    <w:p w14:paraId="6FADBF3E" w14:textId="4E26EB13" w:rsidR="00B81248" w:rsidRPr="00A204F9" w:rsidRDefault="00B81248" w:rsidP="00B81248">
      <w:r w:rsidRPr="00381E43">
        <w:rPr>
          <w:b/>
          <w:bCs/>
        </w:rPr>
        <w:t xml:space="preserve">Kontakt für </w:t>
      </w:r>
      <w:r w:rsidR="00381E43" w:rsidRPr="00381E43">
        <w:rPr>
          <w:b/>
          <w:bCs/>
        </w:rPr>
        <w:t>Presseanfragen</w:t>
      </w:r>
    </w:p>
    <w:p w14:paraId="269159B4" w14:textId="1AEEE791" w:rsidR="00D56A24" w:rsidRDefault="00D56A24" w:rsidP="00D56A24">
      <w:r w:rsidRPr="008D5F0D">
        <w:rPr>
          <w:u w:val="single"/>
        </w:rPr>
        <w:t>BTGA</w:t>
      </w:r>
      <w:r w:rsidRPr="008D5F0D">
        <w:rPr>
          <w:u w:val="single"/>
        </w:rPr>
        <w:br/>
      </w:r>
      <w:r>
        <w:t xml:space="preserve">Jörn Adler, </w:t>
      </w:r>
      <w:hyperlink r:id="rId8" w:history="1">
        <w:r w:rsidRPr="001932B5">
          <w:rPr>
            <w:rStyle w:val="Hyperlink"/>
          </w:rPr>
          <w:t>adler@btga.de</w:t>
        </w:r>
      </w:hyperlink>
      <w:r>
        <w:t>, 0049 172 3929058</w:t>
      </w:r>
    </w:p>
    <w:p w14:paraId="41EBD7E6" w14:textId="77777777" w:rsidR="00D56A24" w:rsidRDefault="00D56A24" w:rsidP="00D56A24">
      <w:r w:rsidRPr="008D5F0D">
        <w:rPr>
          <w:u w:val="single"/>
        </w:rPr>
        <w:t>FGK</w:t>
      </w:r>
      <w:r w:rsidRPr="008D5F0D">
        <w:rPr>
          <w:u w:val="single"/>
        </w:rPr>
        <w:br/>
      </w:r>
      <w:r>
        <w:t xml:space="preserve">Sabine Riethmüller, </w:t>
      </w:r>
      <w:hyperlink r:id="rId9" w:history="1">
        <w:r w:rsidRPr="001932B5">
          <w:rPr>
            <w:rStyle w:val="Hyperlink"/>
          </w:rPr>
          <w:t>presse@fgk.info</w:t>
        </w:r>
      </w:hyperlink>
      <w:r>
        <w:t>, 0049 7141 25881-14</w:t>
      </w:r>
    </w:p>
    <w:p w14:paraId="7E5EFAC4" w14:textId="48C722DA" w:rsidR="00B81248" w:rsidRDefault="00B81248" w:rsidP="00B81248">
      <w:r w:rsidRPr="008D5F0D">
        <w:rPr>
          <w:u w:val="single"/>
        </w:rPr>
        <w:t>VDKF</w:t>
      </w:r>
      <w:r w:rsidR="008D5F0D" w:rsidRPr="008D5F0D">
        <w:rPr>
          <w:u w:val="single"/>
        </w:rPr>
        <w:br/>
      </w:r>
      <w:r>
        <w:t>Christoph Brauneis</w:t>
      </w:r>
      <w:r w:rsidR="00341B4A">
        <w:t>,</w:t>
      </w:r>
      <w:r>
        <w:t xml:space="preserve"> </w:t>
      </w:r>
      <w:hyperlink r:id="rId10" w:history="1">
        <w:r w:rsidR="00381E43" w:rsidRPr="001932B5">
          <w:rPr>
            <w:rStyle w:val="Hyperlink"/>
          </w:rPr>
          <w:t>christoph.brauneis@vdkf.de</w:t>
        </w:r>
      </w:hyperlink>
      <w:r>
        <w:t>, 0049 152</w:t>
      </w:r>
      <w:r w:rsidR="00D56A24">
        <w:t xml:space="preserve"> </w:t>
      </w:r>
      <w:r>
        <w:t xml:space="preserve">02006037 </w:t>
      </w:r>
    </w:p>
    <w:p w14:paraId="4138E6E1" w14:textId="77777777" w:rsidR="00D56A24" w:rsidRDefault="00D56A24" w:rsidP="00380A60">
      <w:pPr>
        <w:rPr>
          <w:b/>
          <w:bCs/>
        </w:rPr>
      </w:pPr>
    </w:p>
    <w:p w14:paraId="561DF656" w14:textId="136267E8" w:rsidR="00380A60" w:rsidRPr="00380A60" w:rsidRDefault="00380A60" w:rsidP="00380A60">
      <w:pPr>
        <w:rPr>
          <w:b/>
          <w:bCs/>
        </w:rPr>
      </w:pPr>
      <w:r w:rsidRPr="00380A60">
        <w:rPr>
          <w:b/>
          <w:bCs/>
        </w:rPr>
        <w:t>Kontakt für Leser</w:t>
      </w:r>
    </w:p>
    <w:p w14:paraId="4BB77F2A" w14:textId="77777777" w:rsidR="00D56A24" w:rsidRDefault="00D56A24" w:rsidP="00D56A24">
      <w:r>
        <w:rPr>
          <w:u w:val="single"/>
        </w:rPr>
        <w:t>BTGA/</w:t>
      </w:r>
      <w:r w:rsidRPr="00380A60">
        <w:rPr>
          <w:u w:val="single"/>
        </w:rPr>
        <w:t xml:space="preserve">FGK </w:t>
      </w:r>
      <w:r w:rsidRPr="00380A60">
        <w:rPr>
          <w:u w:val="single"/>
        </w:rPr>
        <w:br/>
      </w:r>
      <w:r>
        <w:t xml:space="preserve">Frank Ernst, </w:t>
      </w:r>
      <w:hyperlink r:id="rId11" w:history="1">
        <w:r w:rsidRPr="00476EC7">
          <w:rPr>
            <w:rStyle w:val="Hyperlink"/>
          </w:rPr>
          <w:t>ernst@btga.de</w:t>
        </w:r>
      </w:hyperlink>
      <w:r>
        <w:t>, 0049 151 21289302</w:t>
      </w:r>
    </w:p>
    <w:p w14:paraId="6B7CB00C" w14:textId="3EFE1709" w:rsidR="00380A60" w:rsidRDefault="00380A60" w:rsidP="00380A60">
      <w:r w:rsidRPr="00380A60">
        <w:rPr>
          <w:u w:val="single"/>
        </w:rPr>
        <w:t>VDKF</w:t>
      </w:r>
      <w:r w:rsidRPr="00380A60">
        <w:rPr>
          <w:u w:val="single"/>
        </w:rPr>
        <w:br/>
      </w:r>
      <w:r>
        <w:t xml:space="preserve">Christoph Brauneis, </w:t>
      </w:r>
      <w:hyperlink r:id="rId12" w:history="1">
        <w:r w:rsidRPr="00476EC7">
          <w:rPr>
            <w:rStyle w:val="Hyperlink"/>
          </w:rPr>
          <w:t>christoph.brauneis@vdkf.de</w:t>
        </w:r>
      </w:hyperlink>
      <w:r>
        <w:t xml:space="preserve">, 0049 152 02006037 </w:t>
      </w:r>
    </w:p>
    <w:p w14:paraId="2F930732" w14:textId="0F9C0A67" w:rsidR="00077BAB" w:rsidRDefault="00077BAB" w:rsidP="00380A60"/>
    <w:p w14:paraId="2E6EB74B" w14:textId="29DE4D56" w:rsidR="0021718C" w:rsidRPr="00D56A24" w:rsidRDefault="00D56A24" w:rsidP="00D56A24">
      <w:pPr>
        <w:pBdr>
          <w:top w:val="single" w:sz="4" w:space="1" w:color="auto"/>
          <w:left w:val="single" w:sz="4" w:space="4" w:color="auto"/>
          <w:bottom w:val="single" w:sz="4" w:space="1" w:color="auto"/>
          <w:right w:val="single" w:sz="4" w:space="4" w:color="auto"/>
        </w:pBdr>
        <w:rPr>
          <w:rFonts w:cstheme="minorHAnsi"/>
          <w:b/>
          <w:bCs/>
          <w:color w:val="000000" w:themeColor="text1"/>
          <w:sz w:val="18"/>
          <w:szCs w:val="18"/>
          <w:shd w:val="clear" w:color="auto" w:fill="FFFFFF"/>
        </w:rPr>
      </w:pPr>
      <w:r>
        <w:rPr>
          <w:rFonts w:cstheme="minorHAnsi"/>
          <w:b/>
          <w:bCs/>
          <w:color w:val="000000" w:themeColor="text1"/>
          <w:sz w:val="18"/>
          <w:szCs w:val="18"/>
          <w:shd w:val="clear" w:color="auto" w:fill="FFFFFF"/>
        </w:rPr>
        <w:t>BTGA – Bundesindustrieverband Technische Gebäudeausrüstung e.V.</w:t>
      </w:r>
      <w:r>
        <w:rPr>
          <w:rFonts w:cstheme="minorHAnsi"/>
          <w:b/>
          <w:bCs/>
          <w:color w:val="000000" w:themeColor="text1"/>
          <w:sz w:val="18"/>
          <w:szCs w:val="18"/>
          <w:shd w:val="clear" w:color="auto" w:fill="FFFFFF"/>
        </w:rPr>
        <w:br/>
      </w:r>
      <w:r w:rsidRPr="0021718C">
        <w:rPr>
          <w:rFonts w:cstheme="minorHAnsi"/>
          <w:color w:val="000000" w:themeColor="text1"/>
          <w:sz w:val="18"/>
          <w:szCs w:val="18"/>
          <w:shd w:val="clear" w:color="auto" w:fill="FFFFFF"/>
        </w:rPr>
        <w:t>Der BTGA vereinigt als Dachverband industriell ausgerichtete, Anlagen erstellende Unter-nehmen der Gebäudetechnik mit eigenen Ingenieurkapazitäten. Die BTGA-Organisation besteht aus acht Landesverbänden sowie Direkt- und Fördermitgliedern und umfasst rund 500 mittelständische Unternehmen und Großbetriebe, die etwa 40.000 Mitarbeiter beschäftigen. Schwerpunkte der Verbandsarbeit liegen in den Bereichen Technik, Berufsbildung, Tarif- und Sozialpolitik, Wirtschaft, Recht, Normung und in der Öffentlichkeitsarbeit.</w:t>
      </w:r>
      <w:r w:rsidR="0021718C">
        <w:rPr>
          <w:rFonts w:cstheme="minorHAnsi"/>
          <w:color w:val="000000" w:themeColor="text1"/>
          <w:sz w:val="18"/>
          <w:szCs w:val="18"/>
          <w:shd w:val="clear" w:color="auto" w:fill="FFFFFF"/>
        </w:rPr>
        <w:t xml:space="preserve"> </w:t>
      </w:r>
      <w:hyperlink r:id="rId13" w:history="1">
        <w:r w:rsidR="0021718C" w:rsidRPr="009D4466">
          <w:rPr>
            <w:rStyle w:val="Hyperlink"/>
            <w:rFonts w:cstheme="minorHAnsi"/>
            <w:sz w:val="18"/>
            <w:szCs w:val="18"/>
            <w:shd w:val="clear" w:color="auto" w:fill="FFFFFF"/>
          </w:rPr>
          <w:t>www.btga.de</w:t>
        </w:r>
      </w:hyperlink>
    </w:p>
    <w:p w14:paraId="64EA483D" w14:textId="6320F4F7" w:rsidR="00FF3CD0" w:rsidRDefault="00FF3CD0" w:rsidP="00FF3CD0">
      <w:pPr>
        <w:pBdr>
          <w:top w:val="single" w:sz="4" w:space="1" w:color="auto"/>
          <w:left w:val="single" w:sz="4" w:space="4" w:color="auto"/>
          <w:bottom w:val="single" w:sz="4" w:space="1" w:color="auto"/>
          <w:right w:val="single" w:sz="4" w:space="4" w:color="auto"/>
        </w:pBdr>
        <w:rPr>
          <w:rFonts w:cstheme="minorHAnsi"/>
          <w:color w:val="000000" w:themeColor="text1"/>
          <w:sz w:val="18"/>
          <w:szCs w:val="18"/>
          <w:shd w:val="clear" w:color="auto" w:fill="FFFFFF"/>
        </w:rPr>
      </w:pPr>
      <w:r>
        <w:rPr>
          <w:rFonts w:cstheme="minorHAnsi"/>
          <w:b/>
          <w:bCs/>
          <w:color w:val="000000" w:themeColor="text1"/>
          <w:sz w:val="18"/>
          <w:szCs w:val="18"/>
          <w:shd w:val="clear" w:color="auto" w:fill="FFFFFF"/>
        </w:rPr>
        <w:t>FGK – Fachverband Gebäude-Klima e.V.</w:t>
      </w:r>
      <w:r>
        <w:rPr>
          <w:rFonts w:cstheme="minorHAnsi"/>
          <w:b/>
          <w:bCs/>
          <w:color w:val="000000" w:themeColor="text1"/>
          <w:sz w:val="18"/>
          <w:szCs w:val="18"/>
          <w:shd w:val="clear" w:color="auto" w:fill="FFFFFF"/>
        </w:rPr>
        <w:br/>
      </w:r>
      <w:r>
        <w:rPr>
          <w:rFonts w:cstheme="minorHAnsi"/>
          <w:color w:val="000000" w:themeColor="text1"/>
          <w:sz w:val="18"/>
          <w:szCs w:val="18"/>
          <w:shd w:val="clear" w:color="auto" w:fill="FFFFFF"/>
        </w:rPr>
        <w:t>Der FGK</w:t>
      </w:r>
      <w:r w:rsidRPr="00A91DB6">
        <w:rPr>
          <w:rFonts w:cstheme="minorHAnsi"/>
          <w:color w:val="000000" w:themeColor="text1"/>
          <w:sz w:val="18"/>
          <w:szCs w:val="18"/>
          <w:shd w:val="clear" w:color="auto" w:fill="FFFFFF"/>
        </w:rPr>
        <w:t xml:space="preserve"> </w:t>
      </w:r>
      <w:r>
        <w:rPr>
          <w:rFonts w:cstheme="minorHAnsi"/>
          <w:color w:val="000000" w:themeColor="text1"/>
          <w:sz w:val="18"/>
          <w:szCs w:val="18"/>
          <w:shd w:val="clear" w:color="auto" w:fill="FFFFFF"/>
        </w:rPr>
        <w:t xml:space="preserve">ist ein </w:t>
      </w:r>
      <w:r w:rsidRPr="00A91DB6">
        <w:rPr>
          <w:rFonts w:cstheme="minorHAnsi"/>
          <w:color w:val="000000" w:themeColor="text1"/>
          <w:sz w:val="18"/>
          <w:szCs w:val="18"/>
          <w:shd w:val="clear" w:color="auto" w:fill="FFFFFF"/>
        </w:rPr>
        <w:t>führende</w:t>
      </w:r>
      <w:r>
        <w:rPr>
          <w:rFonts w:cstheme="minorHAnsi"/>
          <w:color w:val="000000" w:themeColor="text1"/>
          <w:sz w:val="18"/>
          <w:szCs w:val="18"/>
          <w:shd w:val="clear" w:color="auto" w:fill="FFFFFF"/>
        </w:rPr>
        <w:t>r</w:t>
      </w:r>
      <w:r w:rsidRPr="00A91DB6">
        <w:rPr>
          <w:rFonts w:cstheme="minorHAnsi"/>
          <w:color w:val="000000" w:themeColor="text1"/>
          <w:sz w:val="18"/>
          <w:szCs w:val="18"/>
          <w:shd w:val="clear" w:color="auto" w:fill="FFFFFF"/>
        </w:rPr>
        <w:t xml:space="preserve"> Branchenverband der deutschen Klima- und Lüftungswirtschaft. </w:t>
      </w:r>
      <w:r>
        <w:rPr>
          <w:rFonts w:cstheme="minorHAnsi"/>
          <w:color w:val="000000" w:themeColor="text1"/>
          <w:sz w:val="18"/>
          <w:szCs w:val="18"/>
          <w:shd w:val="clear" w:color="auto" w:fill="FFFFFF"/>
        </w:rPr>
        <w:t xml:space="preserve">Er vertritt </w:t>
      </w:r>
      <w:r w:rsidRPr="00A91DB6">
        <w:rPr>
          <w:rFonts w:cstheme="minorHAnsi"/>
          <w:color w:val="000000" w:themeColor="text1"/>
          <w:sz w:val="18"/>
          <w:szCs w:val="18"/>
          <w:shd w:val="clear" w:color="auto" w:fill="FFFFFF"/>
        </w:rPr>
        <w:t xml:space="preserve">die Interessen seiner Mitglieder gegenüber den Marktpartnern, der Politik, der Wirtschaft, den Normungsinstitutionen und der Wissenschaft. Mit </w:t>
      </w:r>
      <w:r>
        <w:rPr>
          <w:rFonts w:cstheme="minorHAnsi"/>
          <w:color w:val="000000" w:themeColor="text1"/>
          <w:sz w:val="18"/>
          <w:szCs w:val="18"/>
          <w:shd w:val="clear" w:color="auto" w:fill="FFFFFF"/>
        </w:rPr>
        <w:t>s</w:t>
      </w:r>
      <w:r w:rsidRPr="00A91DB6">
        <w:rPr>
          <w:rFonts w:cstheme="minorHAnsi"/>
          <w:color w:val="000000" w:themeColor="text1"/>
          <w:sz w:val="18"/>
          <w:szCs w:val="18"/>
          <w:shd w:val="clear" w:color="auto" w:fill="FFFFFF"/>
        </w:rPr>
        <w:t xml:space="preserve">einer politischen Kommunikation nimmt der Verband Einfluss auf ordnungsrechtliche Vorgaben sowie auf Normen aus dem relevanten Bereich der Technischen Gebäudeausrüstung. Die ca. 300 Mitglieder des FGK beschäftigen rund 49.000 Mitarbeiter und erwirtschaften einen Umsatz von etwa 7,1 </w:t>
      </w:r>
      <w:r>
        <w:rPr>
          <w:rFonts w:cstheme="minorHAnsi"/>
          <w:color w:val="000000" w:themeColor="text1"/>
          <w:sz w:val="18"/>
          <w:szCs w:val="18"/>
          <w:shd w:val="clear" w:color="auto" w:fill="FFFFFF"/>
        </w:rPr>
        <w:t>Mrd. €</w:t>
      </w:r>
      <w:r w:rsidRPr="00A91DB6">
        <w:rPr>
          <w:rFonts w:cstheme="minorHAnsi"/>
          <w:color w:val="000000" w:themeColor="text1"/>
          <w:sz w:val="18"/>
          <w:szCs w:val="18"/>
          <w:shd w:val="clear" w:color="auto" w:fill="FFFFFF"/>
        </w:rPr>
        <w:t xml:space="preserve"> pro Jahr.</w:t>
      </w:r>
      <w:r w:rsidR="00341B4A">
        <w:rPr>
          <w:rFonts w:cstheme="minorHAnsi"/>
          <w:color w:val="000000" w:themeColor="text1"/>
          <w:sz w:val="18"/>
          <w:szCs w:val="18"/>
          <w:shd w:val="clear" w:color="auto" w:fill="FFFFFF"/>
        </w:rPr>
        <w:t xml:space="preserve"> </w:t>
      </w:r>
      <w:hyperlink r:id="rId14" w:history="1">
        <w:r w:rsidRPr="007A570E">
          <w:rPr>
            <w:rStyle w:val="Hyperlink"/>
            <w:rFonts w:cstheme="minorHAnsi"/>
            <w:sz w:val="18"/>
            <w:szCs w:val="18"/>
            <w:shd w:val="clear" w:color="auto" w:fill="FFFFFF"/>
          </w:rPr>
          <w:t>www.fgk.de</w:t>
        </w:r>
      </w:hyperlink>
    </w:p>
    <w:p w14:paraId="556F1267" w14:textId="47019F2D" w:rsidR="00FF3CD0" w:rsidRDefault="00FF3CD0" w:rsidP="002F3A27">
      <w:pPr>
        <w:pBdr>
          <w:top w:val="single" w:sz="4" w:space="1" w:color="auto"/>
          <w:left w:val="single" w:sz="4" w:space="4" w:color="auto"/>
          <w:bottom w:val="single" w:sz="4" w:space="1" w:color="auto"/>
          <w:right w:val="single" w:sz="4" w:space="4" w:color="auto"/>
        </w:pBdr>
      </w:pPr>
      <w:r w:rsidRPr="00976523">
        <w:rPr>
          <w:rFonts w:cstheme="minorHAnsi"/>
          <w:b/>
          <w:bCs/>
          <w:color w:val="000000" w:themeColor="text1"/>
          <w:sz w:val="18"/>
          <w:szCs w:val="18"/>
          <w:shd w:val="clear" w:color="auto" w:fill="FFFFFF"/>
        </w:rPr>
        <w:t xml:space="preserve">VDKF – </w:t>
      </w:r>
      <w:r w:rsidRPr="00976523">
        <w:rPr>
          <w:b/>
          <w:bCs/>
          <w:sz w:val="18"/>
          <w:szCs w:val="18"/>
        </w:rPr>
        <w:t>Verband Deutscher Kälte-Klima-Fachbetriebe e.V.</w:t>
      </w:r>
      <w:r w:rsidRPr="00976523">
        <w:rPr>
          <w:b/>
          <w:bCs/>
          <w:sz w:val="18"/>
          <w:szCs w:val="18"/>
        </w:rPr>
        <w:br/>
      </w:r>
      <w:r w:rsidRPr="00FF3CD0">
        <w:rPr>
          <w:color w:val="000000" w:themeColor="text1"/>
          <w:sz w:val="18"/>
          <w:szCs w:val="18"/>
          <w:shd w:val="clear" w:color="auto" w:fill="FFFFFF"/>
        </w:rPr>
        <w:t xml:space="preserve">Der VDKF e. V. ist mit über 1000 Mitgliedsbetrieben seit 1962 der führende deutsche Wirtschaftsverband der Kälte-, Klima- und Wärmepumpenbranche und Partner des Kälteanlagenbauerhandwerks (40.000 Mitarbeiter, Umsatz 6,8 Mrd. Euro). </w:t>
      </w:r>
      <w:r w:rsidRPr="00976523">
        <w:rPr>
          <w:color w:val="000000" w:themeColor="text1"/>
          <w:sz w:val="18"/>
          <w:szCs w:val="18"/>
          <w:shd w:val="clear" w:color="auto" w:fill="FFFFFF"/>
        </w:rPr>
        <w:t xml:space="preserve">Als Wirtschaftsverband erstreckt sich das Leistungsspektrum des Verbandes von der Interessenvertretung der Verbandsmitglieder gegenüber Regierungsstellen, Behörden und Organisationen über die Wahrnehmung wirtschaftspolitischer Belange und der Förderung des fachlichen Gedankenaustauschs bis hin zu einem umfassenden Dienstleistungs- und Informationsangebot. </w:t>
      </w:r>
      <w:hyperlink r:id="rId15" w:history="1">
        <w:r w:rsidRPr="00976523">
          <w:rPr>
            <w:rStyle w:val="Hyperlink"/>
            <w:sz w:val="18"/>
            <w:szCs w:val="18"/>
          </w:rPr>
          <w:t>www.vdkf.de</w:t>
        </w:r>
      </w:hyperlink>
    </w:p>
    <w:sectPr w:rsidR="00FF3CD0">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AED30" w14:textId="77777777" w:rsidR="008D7492" w:rsidRDefault="008D7492" w:rsidP="005F4620">
      <w:pPr>
        <w:spacing w:after="0" w:line="240" w:lineRule="auto"/>
      </w:pPr>
      <w:r>
        <w:separator/>
      </w:r>
    </w:p>
  </w:endnote>
  <w:endnote w:type="continuationSeparator" w:id="0">
    <w:p w14:paraId="5566E29C" w14:textId="77777777" w:rsidR="008D7492" w:rsidRDefault="008D7492" w:rsidP="005F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B4CC8" w14:textId="77777777" w:rsidR="008D7492" w:rsidRDefault="008D7492" w:rsidP="005F4620">
      <w:pPr>
        <w:spacing w:after="0" w:line="240" w:lineRule="auto"/>
      </w:pPr>
      <w:bookmarkStart w:id="0" w:name="_Hlk171063621"/>
      <w:bookmarkEnd w:id="0"/>
      <w:r>
        <w:separator/>
      </w:r>
    </w:p>
  </w:footnote>
  <w:footnote w:type="continuationSeparator" w:id="0">
    <w:p w14:paraId="739644F1" w14:textId="77777777" w:rsidR="008D7492" w:rsidRDefault="008D7492" w:rsidP="005F4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867D3" w14:textId="04282A6F" w:rsidR="00AE24FF" w:rsidRDefault="00FF3CD0" w:rsidP="00AE24FF">
    <w:pPr>
      <w:pStyle w:val="Kopfzeile"/>
    </w:pPr>
    <w:r>
      <w:t xml:space="preserve"> </w:t>
    </w:r>
    <w:r w:rsidR="00D56A24">
      <w:rPr>
        <w:noProof/>
      </w:rPr>
      <w:drawing>
        <wp:inline distT="0" distB="0" distL="0" distR="0" wp14:anchorId="3187023C" wp14:editId="236D85E0">
          <wp:extent cx="1280160" cy="758274"/>
          <wp:effectExtent l="0" t="0" r="0" b="3810"/>
          <wp:docPr id="1227089790" name="Grafik 2"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89790" name="Grafik 2"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50" cy="767745"/>
                  </a:xfrm>
                  <a:prstGeom prst="rect">
                    <a:avLst/>
                  </a:prstGeom>
                  <a:noFill/>
                </pic:spPr>
              </pic:pic>
            </a:graphicData>
          </a:graphic>
        </wp:inline>
      </w:drawing>
    </w:r>
    <w:r w:rsidR="00D56A24">
      <w:t xml:space="preserve">                                </w:t>
    </w:r>
    <w:r w:rsidR="00AE24FF">
      <w:t xml:space="preserve"> </w:t>
    </w:r>
    <w:r w:rsidR="00AE24FF">
      <w:rPr>
        <w:noProof/>
      </w:rPr>
      <w:drawing>
        <wp:inline distT="0" distB="0" distL="0" distR="0" wp14:anchorId="485C50A5" wp14:editId="2D84C4F5">
          <wp:extent cx="991197" cy="532130"/>
          <wp:effectExtent l="0" t="0" r="0" b="1270"/>
          <wp:docPr id="822559918" name="Grafik 822559918"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73943" name="Grafik 4" descr="Ein Bild, das Logo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001363" cy="537588"/>
                  </a:xfrm>
                  <a:prstGeom prst="rect">
                    <a:avLst/>
                  </a:prstGeom>
                  <a:noFill/>
                </pic:spPr>
              </pic:pic>
            </a:graphicData>
          </a:graphic>
        </wp:inline>
      </w:drawing>
    </w:r>
    <w:r w:rsidR="00AE24FF">
      <w:t xml:space="preserve">  </w:t>
    </w:r>
    <w:r w:rsidR="0065550D">
      <w:t xml:space="preserve"> </w:t>
    </w:r>
    <w:r w:rsidR="00D56A24">
      <w:t xml:space="preserve">                           </w:t>
    </w:r>
    <w:r w:rsidR="0065550D">
      <w:t xml:space="preserve">       </w:t>
    </w:r>
    <w:r w:rsidR="00AE24FF">
      <w:t xml:space="preserve"> </w:t>
    </w:r>
    <w:r>
      <w:rPr>
        <w:noProof/>
      </w:rPr>
      <w:drawing>
        <wp:inline distT="0" distB="0" distL="0" distR="0" wp14:anchorId="32A2DF8F" wp14:editId="2D673CB4">
          <wp:extent cx="997856" cy="523875"/>
          <wp:effectExtent l="0" t="0" r="0" b="0"/>
          <wp:docPr id="460025200" name="Grafik 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25200" name="Grafik 6" descr="Ein Bild, das Text, Clipar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020427" cy="535725"/>
                  </a:xfrm>
                  <a:prstGeom prst="rect">
                    <a:avLst/>
                  </a:prstGeom>
                </pic:spPr>
              </pic:pic>
            </a:graphicData>
          </a:graphic>
        </wp:inline>
      </w:drawing>
    </w:r>
    <w:r w:rsidR="00AE24FF">
      <w:t xml:space="preserve">                             </w:t>
    </w:r>
    <w:r w:rsidR="00443543">
      <w:t xml:space="preserve"> </w:t>
    </w:r>
    <w:r w:rsidR="00AE24FF">
      <w:t xml:space="preserve">                  </w:t>
    </w:r>
  </w:p>
  <w:p w14:paraId="2DC3C333" w14:textId="77777777" w:rsidR="00AE24FF" w:rsidRPr="00307BAC" w:rsidRDefault="00AE24FF" w:rsidP="00AE24FF">
    <w:pPr>
      <w:pStyle w:val="Kopfzeile"/>
    </w:pPr>
  </w:p>
  <w:p w14:paraId="4D1A24D4" w14:textId="7213D5F4" w:rsidR="005F4620" w:rsidRPr="00AE24FF" w:rsidRDefault="005F4620" w:rsidP="00AE24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2221F"/>
    <w:multiLevelType w:val="hybridMultilevel"/>
    <w:tmpl w:val="4E34B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291911"/>
    <w:multiLevelType w:val="hybridMultilevel"/>
    <w:tmpl w:val="CBAAD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31442B"/>
    <w:multiLevelType w:val="hybridMultilevel"/>
    <w:tmpl w:val="C8C25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22F33"/>
    <w:multiLevelType w:val="hybridMultilevel"/>
    <w:tmpl w:val="C1F457E0"/>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num w:numId="1" w16cid:durableId="2144738351">
    <w:abstractNumId w:val="1"/>
  </w:num>
  <w:num w:numId="2" w16cid:durableId="228347990">
    <w:abstractNumId w:val="0"/>
  </w:num>
  <w:num w:numId="3" w16cid:durableId="105278380">
    <w:abstractNumId w:val="3"/>
  </w:num>
  <w:num w:numId="4" w16cid:durableId="2134522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20"/>
    <w:rsid w:val="00071D15"/>
    <w:rsid w:val="00077BAB"/>
    <w:rsid w:val="000A431D"/>
    <w:rsid w:val="000A4DA5"/>
    <w:rsid w:val="000D3B0F"/>
    <w:rsid w:val="00103C73"/>
    <w:rsid w:val="001073C9"/>
    <w:rsid w:val="00185036"/>
    <w:rsid w:val="001974B4"/>
    <w:rsid w:val="001A2EBC"/>
    <w:rsid w:val="001B3BC0"/>
    <w:rsid w:val="0021718C"/>
    <w:rsid w:val="002405D5"/>
    <w:rsid w:val="00276326"/>
    <w:rsid w:val="00281B8C"/>
    <w:rsid w:val="00291584"/>
    <w:rsid w:val="002A65A4"/>
    <w:rsid w:val="002F3A27"/>
    <w:rsid w:val="00341B4A"/>
    <w:rsid w:val="00375999"/>
    <w:rsid w:val="003761CA"/>
    <w:rsid w:val="00380A60"/>
    <w:rsid w:val="00381E43"/>
    <w:rsid w:val="003B4651"/>
    <w:rsid w:val="003D741A"/>
    <w:rsid w:val="00433D68"/>
    <w:rsid w:val="00437099"/>
    <w:rsid w:val="00443543"/>
    <w:rsid w:val="00451769"/>
    <w:rsid w:val="004B0F82"/>
    <w:rsid w:val="004B365B"/>
    <w:rsid w:val="00515C66"/>
    <w:rsid w:val="005326FF"/>
    <w:rsid w:val="00563CBD"/>
    <w:rsid w:val="00591C44"/>
    <w:rsid w:val="00596E2A"/>
    <w:rsid w:val="005C30E0"/>
    <w:rsid w:val="005C5766"/>
    <w:rsid w:val="005E4C71"/>
    <w:rsid w:val="005F4620"/>
    <w:rsid w:val="00613641"/>
    <w:rsid w:val="00640598"/>
    <w:rsid w:val="0065550D"/>
    <w:rsid w:val="00671FEB"/>
    <w:rsid w:val="006B2A29"/>
    <w:rsid w:val="006C7B48"/>
    <w:rsid w:val="006F542D"/>
    <w:rsid w:val="007001C3"/>
    <w:rsid w:val="00737FC3"/>
    <w:rsid w:val="00742F3A"/>
    <w:rsid w:val="00776A43"/>
    <w:rsid w:val="00794307"/>
    <w:rsid w:val="00796488"/>
    <w:rsid w:val="007974D7"/>
    <w:rsid w:val="007A3F1B"/>
    <w:rsid w:val="007A7FCE"/>
    <w:rsid w:val="007C7066"/>
    <w:rsid w:val="007C7166"/>
    <w:rsid w:val="007F52F8"/>
    <w:rsid w:val="008447D0"/>
    <w:rsid w:val="00855033"/>
    <w:rsid w:val="0086563B"/>
    <w:rsid w:val="0086688F"/>
    <w:rsid w:val="008D363B"/>
    <w:rsid w:val="008D41DC"/>
    <w:rsid w:val="008D5F0D"/>
    <w:rsid w:val="008D7492"/>
    <w:rsid w:val="00917F6E"/>
    <w:rsid w:val="00920CC1"/>
    <w:rsid w:val="00934282"/>
    <w:rsid w:val="009415DA"/>
    <w:rsid w:val="00943A00"/>
    <w:rsid w:val="0097484F"/>
    <w:rsid w:val="00987899"/>
    <w:rsid w:val="009D0F1A"/>
    <w:rsid w:val="00A204F9"/>
    <w:rsid w:val="00A52D36"/>
    <w:rsid w:val="00A7741D"/>
    <w:rsid w:val="00AE24FF"/>
    <w:rsid w:val="00B17B7B"/>
    <w:rsid w:val="00B24061"/>
    <w:rsid w:val="00B329C4"/>
    <w:rsid w:val="00B32AAC"/>
    <w:rsid w:val="00B42713"/>
    <w:rsid w:val="00B81248"/>
    <w:rsid w:val="00B82FA0"/>
    <w:rsid w:val="00BC1661"/>
    <w:rsid w:val="00BC1E36"/>
    <w:rsid w:val="00BF3D50"/>
    <w:rsid w:val="00C45CE1"/>
    <w:rsid w:val="00C74183"/>
    <w:rsid w:val="00C964DC"/>
    <w:rsid w:val="00CB45B6"/>
    <w:rsid w:val="00CE16B1"/>
    <w:rsid w:val="00D14B62"/>
    <w:rsid w:val="00D40648"/>
    <w:rsid w:val="00D53FED"/>
    <w:rsid w:val="00D56A24"/>
    <w:rsid w:val="00D6531F"/>
    <w:rsid w:val="00DA1E0D"/>
    <w:rsid w:val="00DE4BDB"/>
    <w:rsid w:val="00DF0167"/>
    <w:rsid w:val="00E01B67"/>
    <w:rsid w:val="00E04C40"/>
    <w:rsid w:val="00E110D5"/>
    <w:rsid w:val="00E137A2"/>
    <w:rsid w:val="00E15ECC"/>
    <w:rsid w:val="00E612A2"/>
    <w:rsid w:val="00E7740B"/>
    <w:rsid w:val="00EA06EB"/>
    <w:rsid w:val="00EF2790"/>
    <w:rsid w:val="00F352A7"/>
    <w:rsid w:val="00F85E03"/>
    <w:rsid w:val="00FE5901"/>
    <w:rsid w:val="00FF3CD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77C36"/>
  <w15:chartTrackingRefBased/>
  <w15:docId w15:val="{6F00AB76-6AE6-4D79-9BD1-DD633ACB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4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620"/>
  </w:style>
  <w:style w:type="paragraph" w:styleId="Fuzeile">
    <w:name w:val="footer"/>
    <w:basedOn w:val="Standard"/>
    <w:link w:val="FuzeileZchn"/>
    <w:uiPriority w:val="99"/>
    <w:unhideWhenUsed/>
    <w:rsid w:val="005F4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620"/>
  </w:style>
  <w:style w:type="paragraph" w:styleId="Listenabsatz">
    <w:name w:val="List Paragraph"/>
    <w:basedOn w:val="Standard"/>
    <w:uiPriority w:val="34"/>
    <w:qFormat/>
    <w:rsid w:val="00591C44"/>
    <w:pPr>
      <w:ind w:left="720"/>
      <w:contextualSpacing/>
    </w:pPr>
  </w:style>
  <w:style w:type="character" w:styleId="Hyperlink">
    <w:name w:val="Hyperlink"/>
    <w:basedOn w:val="Absatz-Standardschriftart"/>
    <w:uiPriority w:val="99"/>
    <w:unhideWhenUsed/>
    <w:rsid w:val="00381E43"/>
    <w:rPr>
      <w:color w:val="0563C1"/>
      <w:u w:val="single"/>
    </w:rPr>
  </w:style>
  <w:style w:type="character" w:styleId="NichtaufgelsteErwhnung">
    <w:name w:val="Unresolved Mention"/>
    <w:basedOn w:val="Absatz-Standardschriftart"/>
    <w:uiPriority w:val="99"/>
    <w:semiHidden/>
    <w:unhideWhenUsed/>
    <w:rsid w:val="00381E43"/>
    <w:rPr>
      <w:color w:val="605E5C"/>
      <w:shd w:val="clear" w:color="auto" w:fill="E1DFDD"/>
    </w:rPr>
  </w:style>
  <w:style w:type="character" w:styleId="Kommentarzeichen">
    <w:name w:val="annotation reference"/>
    <w:basedOn w:val="Absatz-Standardschriftart"/>
    <w:uiPriority w:val="99"/>
    <w:semiHidden/>
    <w:unhideWhenUsed/>
    <w:rsid w:val="004B0F82"/>
    <w:rPr>
      <w:sz w:val="16"/>
      <w:szCs w:val="16"/>
    </w:rPr>
  </w:style>
  <w:style w:type="paragraph" w:styleId="Kommentartext">
    <w:name w:val="annotation text"/>
    <w:basedOn w:val="Standard"/>
    <w:link w:val="KommentartextZchn"/>
    <w:uiPriority w:val="99"/>
    <w:unhideWhenUsed/>
    <w:rsid w:val="004B0F82"/>
    <w:pPr>
      <w:spacing w:line="240" w:lineRule="auto"/>
    </w:pPr>
    <w:rPr>
      <w:sz w:val="20"/>
      <w:szCs w:val="20"/>
    </w:rPr>
  </w:style>
  <w:style w:type="character" w:customStyle="1" w:styleId="KommentartextZchn">
    <w:name w:val="Kommentartext Zchn"/>
    <w:basedOn w:val="Absatz-Standardschriftart"/>
    <w:link w:val="Kommentartext"/>
    <w:uiPriority w:val="99"/>
    <w:rsid w:val="004B0F82"/>
    <w:rPr>
      <w:sz w:val="20"/>
      <w:szCs w:val="20"/>
    </w:rPr>
  </w:style>
  <w:style w:type="paragraph" w:styleId="berarbeitung">
    <w:name w:val="Revision"/>
    <w:hidden/>
    <w:uiPriority w:val="99"/>
    <w:semiHidden/>
    <w:rsid w:val="007964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59907">
      <w:bodyDiv w:val="1"/>
      <w:marLeft w:val="0"/>
      <w:marRight w:val="0"/>
      <w:marTop w:val="0"/>
      <w:marBottom w:val="0"/>
      <w:divBdr>
        <w:top w:val="none" w:sz="0" w:space="0" w:color="auto"/>
        <w:left w:val="none" w:sz="0" w:space="0" w:color="auto"/>
        <w:bottom w:val="none" w:sz="0" w:space="0" w:color="auto"/>
        <w:right w:val="none" w:sz="0" w:space="0" w:color="auto"/>
      </w:divBdr>
    </w:div>
    <w:div w:id="919220003">
      <w:bodyDiv w:val="1"/>
      <w:marLeft w:val="0"/>
      <w:marRight w:val="0"/>
      <w:marTop w:val="0"/>
      <w:marBottom w:val="0"/>
      <w:divBdr>
        <w:top w:val="none" w:sz="0" w:space="0" w:color="auto"/>
        <w:left w:val="none" w:sz="0" w:space="0" w:color="auto"/>
        <w:bottom w:val="none" w:sz="0" w:space="0" w:color="auto"/>
        <w:right w:val="none" w:sz="0" w:space="0" w:color="auto"/>
      </w:divBdr>
    </w:div>
    <w:div w:id="1065446422">
      <w:bodyDiv w:val="1"/>
      <w:marLeft w:val="0"/>
      <w:marRight w:val="0"/>
      <w:marTop w:val="0"/>
      <w:marBottom w:val="0"/>
      <w:divBdr>
        <w:top w:val="none" w:sz="0" w:space="0" w:color="auto"/>
        <w:left w:val="none" w:sz="0" w:space="0" w:color="auto"/>
        <w:bottom w:val="none" w:sz="0" w:space="0" w:color="auto"/>
        <w:right w:val="none" w:sz="0" w:space="0" w:color="auto"/>
      </w:divBdr>
    </w:div>
    <w:div w:id="189970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ler@btga.de" TargetMode="External"/><Relationship Id="rId13" Type="http://schemas.openxmlformats.org/officeDocument/2006/relationships/hyperlink" Target="http://www.btga.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ristoph.brauneis@vdkf.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nst@btga.de" TargetMode="External"/><Relationship Id="rId5" Type="http://schemas.openxmlformats.org/officeDocument/2006/relationships/webSettings" Target="webSettings.xml"/><Relationship Id="rId15" Type="http://schemas.openxmlformats.org/officeDocument/2006/relationships/hyperlink" Target="http://www.vdkf.de" TargetMode="External"/><Relationship Id="rId10" Type="http://schemas.openxmlformats.org/officeDocument/2006/relationships/hyperlink" Target="mailto:christoph.brauneis@vdkf.de" TargetMode="External"/><Relationship Id="rId4" Type="http://schemas.openxmlformats.org/officeDocument/2006/relationships/settings" Target="settings.xml"/><Relationship Id="rId9" Type="http://schemas.openxmlformats.org/officeDocument/2006/relationships/hyperlink" Target="mailto:presse@fgk.info" TargetMode="External"/><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702D7-5923-4CAB-A7EC-F7340A68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4411</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Brauneis</dc:creator>
  <cp:keywords/>
  <dc:description/>
  <cp:lastModifiedBy>Christoph Brauneis</cp:lastModifiedBy>
  <cp:revision>2</cp:revision>
  <dcterms:created xsi:type="dcterms:W3CDTF">2024-11-05T15:06:00Z</dcterms:created>
  <dcterms:modified xsi:type="dcterms:W3CDTF">2024-11-05T15:06:00Z</dcterms:modified>
</cp:coreProperties>
</file>